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51B22" w14:textId="6026B539" w:rsidR="00B47BF5" w:rsidRPr="00B47BF5" w:rsidRDefault="00B47BF5" w:rsidP="00D87923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B47BF5">
        <w:rPr>
          <w:rFonts w:cstheme="minorHAnsi"/>
          <w:b/>
          <w:bCs/>
          <w:sz w:val="24"/>
          <w:szCs w:val="24"/>
          <w:lang w:val="en-GB"/>
        </w:rPr>
        <w:t xml:space="preserve">Tax breaks for </w:t>
      </w:r>
      <w:proofErr w:type="spellStart"/>
      <w:r w:rsidRPr="00B47BF5">
        <w:rPr>
          <w:rFonts w:cstheme="minorHAnsi"/>
          <w:b/>
          <w:bCs/>
          <w:sz w:val="24"/>
          <w:szCs w:val="24"/>
          <w:lang w:val="en-GB"/>
        </w:rPr>
        <w:t>Małopolska</w:t>
      </w:r>
      <w:proofErr w:type="spellEnd"/>
      <w:r w:rsidRPr="00B47BF5">
        <w:rPr>
          <w:rFonts w:cstheme="minorHAnsi"/>
          <w:b/>
          <w:bCs/>
          <w:sz w:val="24"/>
          <w:szCs w:val="24"/>
          <w:lang w:val="en-GB"/>
        </w:rPr>
        <w:t xml:space="preserve"> entrepreneurs. </w:t>
      </w:r>
      <w:r w:rsidRPr="00B47BF5">
        <w:rPr>
          <w:rFonts w:cstheme="minorHAnsi"/>
          <w:b/>
          <w:bCs/>
          <w:sz w:val="24"/>
          <w:szCs w:val="24"/>
          <w:lang w:val="en-GB"/>
        </w:rPr>
        <w:br/>
        <w:t xml:space="preserve">Kraków Technology Park aids companies </w:t>
      </w:r>
    </w:p>
    <w:p w14:paraId="531939B9" w14:textId="5A0E8359" w:rsidR="00B47BF5" w:rsidRPr="00B47BF5" w:rsidRDefault="00B47BF5" w:rsidP="00B47BF5">
      <w:pPr>
        <w:jc w:val="both"/>
        <w:rPr>
          <w:rFonts w:cstheme="minorHAnsi"/>
          <w:sz w:val="24"/>
          <w:szCs w:val="24"/>
          <w:lang w:val="en-GB"/>
        </w:rPr>
      </w:pPr>
      <w:r w:rsidRPr="00B47BF5">
        <w:rPr>
          <w:rFonts w:cstheme="minorHAnsi"/>
          <w:sz w:val="24"/>
          <w:szCs w:val="24"/>
          <w:lang w:val="en-GB"/>
        </w:rPr>
        <w:t xml:space="preserve">Do you run an enterprise in </w:t>
      </w:r>
      <w:proofErr w:type="spellStart"/>
      <w:r w:rsidRPr="00B47BF5">
        <w:rPr>
          <w:rFonts w:cstheme="minorHAnsi"/>
          <w:sz w:val="24"/>
          <w:szCs w:val="24"/>
          <w:lang w:val="en-GB"/>
        </w:rPr>
        <w:t>Małopolska</w:t>
      </w:r>
      <w:proofErr w:type="spellEnd"/>
      <w:r w:rsidRPr="00B47BF5">
        <w:rPr>
          <w:rFonts w:cstheme="minorHAnsi"/>
          <w:sz w:val="24"/>
          <w:szCs w:val="24"/>
          <w:lang w:val="en-GB"/>
        </w:rPr>
        <w:t xml:space="preserve"> or </w:t>
      </w:r>
      <w:proofErr w:type="spellStart"/>
      <w:r w:rsidRPr="00B47BF5">
        <w:rPr>
          <w:rFonts w:cstheme="minorHAnsi"/>
          <w:sz w:val="24"/>
          <w:szCs w:val="24"/>
          <w:lang w:val="en-GB"/>
        </w:rPr>
        <w:t>Jędrzejowski</w:t>
      </w:r>
      <w:proofErr w:type="spellEnd"/>
      <w:r w:rsidRPr="00B47BF5">
        <w:rPr>
          <w:rFonts w:cstheme="minorHAnsi"/>
          <w:sz w:val="24"/>
          <w:szCs w:val="24"/>
          <w:lang w:val="en-GB"/>
        </w:rPr>
        <w:t xml:space="preserve"> County? Come to Kraków Technology Park and find </w:t>
      </w:r>
      <w:r>
        <w:rPr>
          <w:rFonts w:cstheme="minorHAnsi"/>
          <w:sz w:val="24"/>
          <w:szCs w:val="24"/>
          <w:lang w:val="en-GB"/>
        </w:rPr>
        <w:t>aid</w:t>
      </w:r>
      <w:r w:rsidRPr="00B47BF5">
        <w:rPr>
          <w:rFonts w:cstheme="minorHAnsi"/>
          <w:sz w:val="24"/>
          <w:szCs w:val="24"/>
          <w:lang w:val="en-GB"/>
        </w:rPr>
        <w:t xml:space="preserve">: you can be relieved from your Company Income Tax (CIT) or Personal Income Tax (PIT). </w:t>
      </w:r>
    </w:p>
    <w:p w14:paraId="65862EC0" w14:textId="0B6723B9" w:rsidR="00B47BF5" w:rsidRPr="00B47BF5" w:rsidRDefault="00B47BF5" w:rsidP="00B47BF5">
      <w:pPr>
        <w:jc w:val="both"/>
        <w:rPr>
          <w:rFonts w:cstheme="minorHAnsi"/>
          <w:sz w:val="24"/>
          <w:szCs w:val="24"/>
          <w:lang w:val="en-GB"/>
        </w:rPr>
      </w:pPr>
      <w:r w:rsidRPr="00B47BF5">
        <w:rPr>
          <w:rFonts w:cstheme="minorHAnsi"/>
          <w:sz w:val="24"/>
          <w:szCs w:val="24"/>
          <w:lang w:val="en-GB"/>
        </w:rPr>
        <w:t xml:space="preserve">Investments make sense in </w:t>
      </w:r>
      <w:proofErr w:type="spellStart"/>
      <w:r w:rsidRPr="00B47BF5">
        <w:rPr>
          <w:rFonts w:cstheme="minorHAnsi"/>
          <w:sz w:val="24"/>
          <w:szCs w:val="24"/>
          <w:lang w:val="en-GB"/>
        </w:rPr>
        <w:t>Małopolska</w:t>
      </w:r>
      <w:proofErr w:type="spellEnd"/>
      <w:r w:rsidRPr="00B47BF5">
        <w:rPr>
          <w:rFonts w:cstheme="minorHAnsi"/>
          <w:sz w:val="24"/>
          <w:szCs w:val="24"/>
          <w:lang w:val="en-GB"/>
        </w:rPr>
        <w:t xml:space="preserve">, where you can exploit the tax breaks as part of the Polish Investment Zone (Polish acronym: PSI) – an aid programme for investors, operated by the Kraków Technology Park. </w:t>
      </w:r>
    </w:p>
    <w:p w14:paraId="5CE07957" w14:textId="0489FE58" w:rsidR="00B47BF5" w:rsidRDefault="00B47BF5" w:rsidP="00B47BF5">
      <w:pPr>
        <w:spacing w:after="0" w:line="240" w:lineRule="auto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Who can apply for </w:t>
      </w:r>
      <w:r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>aid</w:t>
      </w:r>
      <w:r w:rsidRPr="00B47BF5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? </w:t>
      </w:r>
    </w:p>
    <w:p w14:paraId="64645F6A" w14:textId="3D5DD45D" w:rsidR="00B47BF5" w:rsidRPr="00B47BF5" w:rsidRDefault="00B47BF5" w:rsidP="00B47BF5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>
        <w:rPr>
          <w:rFonts w:eastAsia="Times New Roman" w:cstheme="minorHAnsi"/>
          <w:color w:val="010000"/>
          <w:sz w:val="24"/>
          <w:szCs w:val="24"/>
          <w:lang w:val="en-GB"/>
        </w:rPr>
        <w:t>Aid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 is available to entrepreneurs want to: </w:t>
      </w:r>
    </w:p>
    <w:p w14:paraId="7902EDC1" w14:textId="1A636003" w:rsidR="00B47BF5" w:rsidRPr="00B47BF5" w:rsidRDefault="00B47BF5" w:rsidP="00B47BF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open a plant </w:t>
      </w:r>
    </w:p>
    <w:p w14:paraId="0067F330" w14:textId="3B258DA7" w:rsidR="00B47BF5" w:rsidRPr="00B47BF5" w:rsidRDefault="00B47BF5" w:rsidP="00B47BF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increase production capacity of their 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plant</w:t>
      </w:r>
    </w:p>
    <w:p w14:paraId="2EE92579" w14:textId="74E53451" w:rsidR="00B47BF5" w:rsidRPr="00B47BF5" w:rsidRDefault="00B47BF5" w:rsidP="00B47BF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introduce new products </w:t>
      </w:r>
    </w:p>
    <w:p w14:paraId="1A424564" w14:textId="03614F78" w:rsidR="00B47BF5" w:rsidRDefault="00B47BF5" w:rsidP="00B47BF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>
        <w:rPr>
          <w:rFonts w:eastAsia="Times New Roman" w:cstheme="minorHAnsi"/>
          <w:color w:val="010000"/>
          <w:sz w:val="24"/>
          <w:szCs w:val="24"/>
          <w:lang w:val="en-GB"/>
        </w:rPr>
        <w:t>c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hange the process of production. </w:t>
      </w:r>
    </w:p>
    <w:p w14:paraId="27F66F54" w14:textId="77777777" w:rsidR="00D87923" w:rsidRPr="00B47BF5" w:rsidRDefault="00D87923" w:rsidP="00B47BF5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</w:p>
    <w:p w14:paraId="6A7DC16C" w14:textId="1955B423" w:rsidR="00B47BF5" w:rsidRDefault="00B47BF5" w:rsidP="00B47BF5">
      <w:pPr>
        <w:spacing w:after="0" w:line="240" w:lineRule="auto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What sectors can apply for </w:t>
      </w:r>
      <w:r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>aid</w:t>
      </w:r>
      <w:r w:rsidRPr="00B47BF5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? </w:t>
      </w:r>
    </w:p>
    <w:p w14:paraId="0B78B391" w14:textId="53A8C861" w:rsidR="00B47BF5" w:rsidRPr="00B47BF5" w:rsidRDefault="00B47BF5" w:rsidP="00B47BF5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>Companies from a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 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broad variety of sectors 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are welcome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. 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Aid 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>is available to nearly all production and logistic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s</w:t>
      </w:r>
      <w:r w:rsidRPr="00B47BF5">
        <w:rPr>
          <w:rFonts w:eastAsia="Times New Roman" w:cstheme="minorHAnsi"/>
          <w:color w:val="010000"/>
          <w:sz w:val="24"/>
          <w:szCs w:val="24"/>
          <w:lang w:val="en-GB"/>
        </w:rPr>
        <w:t xml:space="preserve">, and some service companies. The most recent investors in the Polish Investment Zone include those from: </w:t>
      </w:r>
    </w:p>
    <w:p w14:paraId="44641E3A" w14:textId="0B164114" w:rsidR="00382808" w:rsidRDefault="00B47BF5" w:rsidP="00D8410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traditional sectors (automotive, transport</w:t>
      </w:r>
      <w:r w:rsidR="00382808"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 and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chemical industr</w:t>
      </w:r>
      <w:r w:rsidR="00382808" w:rsidRPr="00382808">
        <w:rPr>
          <w:rFonts w:eastAsia="Times New Roman" w:cstheme="minorHAnsi"/>
          <w:color w:val="010000"/>
          <w:sz w:val="24"/>
          <w:szCs w:val="24"/>
          <w:lang w:val="en-GB"/>
        </w:rPr>
        <w:t>ies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, and the food sector</w:t>
      </w:r>
      <w:r w:rsidR="00382808"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; with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producers of innovative baths, </w:t>
      </w:r>
      <w:r w:rsidR="00382808"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composite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tanks, furnishing, and wooden and metal components</w:t>
      </w:r>
      <w:r w:rsidR="00382808"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 also notable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) </w:t>
      </w:r>
    </w:p>
    <w:p w14:paraId="3EA041A8" w14:textId="51E165F2" w:rsidR="00B47BF5" w:rsidRPr="00382808" w:rsidRDefault="00382808" w:rsidP="00D8410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>
        <w:rPr>
          <w:rFonts w:eastAsia="Times New Roman" w:cstheme="minorHAnsi"/>
          <w:color w:val="010000"/>
          <w:sz w:val="24"/>
          <w:szCs w:val="24"/>
          <w:lang w:val="en-GB"/>
        </w:rPr>
        <w:t>s</w:t>
      </w:r>
      <w:r w:rsidR="00B47BF5" w:rsidRPr="00382808">
        <w:rPr>
          <w:rFonts w:eastAsia="Times New Roman" w:cstheme="minorHAnsi"/>
          <w:color w:val="010000"/>
          <w:sz w:val="24"/>
          <w:szCs w:val="24"/>
          <w:lang w:val="en-GB"/>
        </w:rPr>
        <w:t>ervice sector companies (IT, R&amp;D in nat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ural </w:t>
      </w:r>
      <w:r w:rsidR="00B47BF5"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and technical sciences, accounting and controlling of books, services in bookkeeping (with the exception of tax statements), technical research and analysis, call centres, and architectural and engineering services). </w:t>
      </w:r>
    </w:p>
    <w:p w14:paraId="17BA632E" w14:textId="755D4D49" w:rsidR="00382808" w:rsidRDefault="00382808" w:rsidP="00382808">
      <w:pPr>
        <w:spacing w:before="240" w:after="0" w:line="240" w:lineRule="auto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Who issues the decision </w:t>
      </w:r>
      <w:r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about granting </w:t>
      </w: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aid? </w:t>
      </w:r>
    </w:p>
    <w:p w14:paraId="44E88A35" w14:textId="08EA5575" w:rsidR="00382808" w:rsidRPr="00382808" w:rsidRDefault="00382808" w:rsidP="00382808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The decision to provide aid within </w:t>
      </w:r>
      <w:proofErr w:type="spellStart"/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Małopolska</w:t>
      </w:r>
      <w:proofErr w:type="spellEnd"/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 Region and </w:t>
      </w:r>
      <w:proofErr w:type="spellStart"/>
      <w:r>
        <w:rPr>
          <w:rFonts w:eastAsia="Times New Roman" w:cstheme="minorHAnsi"/>
          <w:color w:val="010000"/>
          <w:sz w:val="24"/>
          <w:szCs w:val="24"/>
          <w:lang w:val="en-GB"/>
        </w:rPr>
        <w:t>Jędrzejowski</w:t>
      </w:r>
      <w:proofErr w:type="spellEnd"/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County (in </w:t>
      </w:r>
      <w:proofErr w:type="spellStart"/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Świętokrzyski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e</w:t>
      </w:r>
      <w:proofErr w:type="spellEnd"/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 Region) is issued, following an application from the entrepreneur, by the Kraków Technology Park on behalf of the minister proper for the matters of economy. </w:t>
      </w:r>
    </w:p>
    <w:p w14:paraId="65409F9E" w14:textId="1C56C2E8" w:rsidR="00382808" w:rsidRDefault="00382808" w:rsidP="00382808">
      <w:pPr>
        <w:spacing w:before="240" w:after="0" w:line="240" w:lineRule="auto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What is the actual </w:t>
      </w:r>
      <w:r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aid </w:t>
      </w: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>an enterprise</w:t>
      </w:r>
      <w:r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 receives</w:t>
      </w: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? </w:t>
      </w:r>
    </w:p>
    <w:p w14:paraId="0AC19F6A" w14:textId="2CFC79EE" w:rsidR="00382808" w:rsidRPr="00382808" w:rsidRDefault="00382808" w:rsidP="00382808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The value of public aid in the area operated by the KTP (CIT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/PIT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breaks) amounts to: </w:t>
      </w:r>
    </w:p>
    <w:p w14:paraId="297DFE3C" w14:textId="77777777" w:rsidR="00382808" w:rsidRPr="00382808" w:rsidRDefault="00382808" w:rsidP="00382808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*35% </w:t>
      </w:r>
      <w:r w:rsidRPr="00382808">
        <w:rPr>
          <w:rFonts w:eastAsia="Times New Roman" w:cstheme="minorHAnsi"/>
          <w:bCs/>
          <w:color w:val="010000"/>
          <w:sz w:val="24"/>
          <w:szCs w:val="24"/>
          <w:lang w:val="en-GB"/>
        </w:rPr>
        <w:t xml:space="preserve">for large </w:t>
      </w:r>
    </w:p>
    <w:p w14:paraId="618EFCBE" w14:textId="77777777" w:rsidR="00382808" w:rsidRPr="00382808" w:rsidRDefault="00382808" w:rsidP="00382808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*45% </w:t>
      </w:r>
      <w:r w:rsidRPr="00382808">
        <w:rPr>
          <w:rFonts w:eastAsia="Times New Roman" w:cstheme="minorHAnsi"/>
          <w:bCs/>
          <w:color w:val="010000"/>
          <w:sz w:val="24"/>
          <w:szCs w:val="24"/>
          <w:lang w:val="en-GB"/>
        </w:rPr>
        <w:t xml:space="preserve">for medium-sized </w:t>
      </w:r>
    </w:p>
    <w:p w14:paraId="48F192DA" w14:textId="77777777" w:rsidR="00382808" w:rsidRPr="00382808" w:rsidRDefault="00382808" w:rsidP="00382808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bCs/>
          <w:color w:val="010000"/>
          <w:sz w:val="24"/>
          <w:szCs w:val="24"/>
          <w:lang w:val="en-GB"/>
        </w:rPr>
        <w:t xml:space="preserve">*55% </w:t>
      </w:r>
      <w:r w:rsidRPr="00382808">
        <w:rPr>
          <w:rFonts w:eastAsia="Times New Roman" w:cstheme="minorHAnsi"/>
          <w:bCs/>
          <w:color w:val="010000"/>
          <w:sz w:val="24"/>
          <w:szCs w:val="24"/>
          <w:lang w:val="en-GB"/>
        </w:rPr>
        <w:t xml:space="preserve">for small and micro-enterprises </w:t>
      </w:r>
    </w:p>
    <w:p w14:paraId="5B1C69DF" w14:textId="77777777" w:rsidR="00382808" w:rsidRPr="00382808" w:rsidRDefault="00382808" w:rsidP="00382808">
      <w:pPr>
        <w:spacing w:after="0" w:line="240" w:lineRule="auto"/>
        <w:ind w:left="-60"/>
        <w:jc w:val="both"/>
        <w:rPr>
          <w:rFonts w:eastAsia="Times New Roman" w:cstheme="minorHAnsi"/>
          <w:b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b/>
          <w:color w:val="010000"/>
          <w:sz w:val="24"/>
          <w:szCs w:val="24"/>
          <w:lang w:val="en-GB"/>
        </w:rPr>
        <w:t xml:space="preserve">counted on the investment outlay incurred. </w:t>
      </w:r>
    </w:p>
    <w:p w14:paraId="6C168353" w14:textId="72FE31C5" w:rsidR="00382808" w:rsidRPr="00382808" w:rsidRDefault="00382808" w:rsidP="00382808">
      <w:pPr>
        <w:spacing w:after="0" w:line="240" w:lineRule="auto"/>
        <w:ind w:left="-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For example, a small enterprise investing PLN 5 million 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into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land, construction of plants, and purchase of the necessary equipment, will receive P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I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T or C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>I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T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break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>of PLN 2.75 million to be used during 12 or 15 years. Th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is means that the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entrepreneur will pay no tax until the limit of PLN 2.75 million has been consumed. </w:t>
      </w:r>
    </w:p>
    <w:p w14:paraId="7D5E3ABC" w14:textId="77777777" w:rsidR="004F5676" w:rsidRDefault="00382808" w:rsidP="004F5676">
      <w:pPr>
        <w:spacing w:before="240" w:after="0" w:line="240" w:lineRule="auto"/>
        <w:ind w:left="-60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Kraków Technology Park provides assistance irrespective of the </w:t>
      </w:r>
      <w:r>
        <w:rPr>
          <w:rFonts w:eastAsia="Times New Roman" w:cstheme="minorHAnsi"/>
          <w:color w:val="010000"/>
          <w:sz w:val="24"/>
          <w:szCs w:val="24"/>
          <w:lang w:val="en-GB"/>
        </w:rPr>
        <w:t xml:space="preserve">location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of investment. More information about the operation of the Polish Investment Zone and benefits for entrepreneurs </w:t>
      </w:r>
      <w:hyperlink r:id="rId5" w:tgtFrame="_blank" w:history="1">
        <w:r w:rsidR="004F5676" w:rsidRPr="004F5676">
          <w:rPr>
            <w:rFonts w:eastAsia="Times New Roman" w:cstheme="minorHAnsi"/>
            <w:color w:val="007DC9"/>
            <w:sz w:val="24"/>
            <w:szCs w:val="21"/>
            <w:u w:val="single"/>
            <w:lang w:val="en-GB"/>
          </w:rPr>
          <w:t>can be found here</w:t>
        </w:r>
      </w:hyperlink>
      <w:r w:rsidR="004F5676" w:rsidRPr="004F5676">
        <w:rPr>
          <w:rFonts w:eastAsia="Times New Roman" w:cstheme="minorHAnsi"/>
          <w:color w:val="007DC9"/>
          <w:sz w:val="24"/>
          <w:szCs w:val="21"/>
          <w:u w:val="single"/>
          <w:lang w:val="en-GB"/>
        </w:rPr>
        <w:t xml:space="preserve"> </w:t>
      </w:r>
      <w:r w:rsidRPr="00382808">
        <w:rPr>
          <w:rFonts w:eastAsia="Times New Roman" w:cstheme="minorHAnsi"/>
          <w:color w:val="010000"/>
          <w:sz w:val="24"/>
          <w:szCs w:val="24"/>
          <w:lang w:val="en-GB"/>
        </w:rPr>
        <w:t xml:space="preserve">or through direct contact with the KPT Investor Services Department: </w:t>
      </w:r>
    </w:p>
    <w:p w14:paraId="660A12DD" w14:textId="66D5A79C" w:rsidR="00845A63" w:rsidRPr="004F5676" w:rsidRDefault="00845A63" w:rsidP="004F5676">
      <w:pPr>
        <w:spacing w:before="240" w:after="0" w:line="240" w:lineRule="auto"/>
        <w:ind w:left="-60"/>
        <w:jc w:val="both"/>
        <w:rPr>
          <w:rFonts w:eastAsia="Times New Roman" w:cstheme="minorHAnsi"/>
          <w:color w:val="010000"/>
          <w:sz w:val="32"/>
          <w:szCs w:val="24"/>
          <w:lang w:val="en-GB"/>
        </w:rPr>
      </w:pPr>
      <w:r w:rsidRPr="004F5676">
        <w:rPr>
          <w:rFonts w:eastAsia="Times New Roman" w:cstheme="minorHAnsi"/>
          <w:b/>
          <w:bCs/>
          <w:color w:val="010000"/>
          <w:sz w:val="24"/>
          <w:szCs w:val="21"/>
          <w:lang w:val="en-GB"/>
        </w:rPr>
        <w:lastRenderedPageBreak/>
        <w:t xml:space="preserve">email: </w:t>
      </w:r>
      <w:hyperlink r:id="rId6" w:history="1">
        <w:r w:rsidRPr="004F5676">
          <w:rPr>
            <w:rFonts w:eastAsia="Times New Roman" w:cstheme="minorHAnsi"/>
            <w:b/>
            <w:bCs/>
            <w:color w:val="007DC9"/>
            <w:sz w:val="24"/>
            <w:szCs w:val="21"/>
            <w:u w:val="single"/>
            <w:lang w:val="en-GB"/>
          </w:rPr>
          <w:t>strefa@kpt.krakow.pl</w:t>
        </w:r>
      </w:hyperlink>
      <w:r w:rsidRPr="004F5676">
        <w:rPr>
          <w:rFonts w:eastAsia="Times New Roman" w:cstheme="minorHAnsi"/>
          <w:b/>
          <w:bCs/>
          <w:color w:val="007DC9"/>
          <w:sz w:val="24"/>
          <w:szCs w:val="21"/>
          <w:u w:val="single"/>
          <w:lang w:val="en-GB"/>
        </w:rPr>
        <w:t xml:space="preserve"> </w:t>
      </w:r>
      <w:r w:rsidRPr="004F5676">
        <w:rPr>
          <w:rFonts w:eastAsia="Times New Roman" w:cstheme="minorHAnsi"/>
          <w:b/>
          <w:bCs/>
          <w:color w:val="010000"/>
          <w:sz w:val="24"/>
          <w:szCs w:val="21"/>
          <w:lang w:val="en-GB"/>
        </w:rPr>
        <w:t xml:space="preserve">tel. +48 690 950 600 </w:t>
      </w:r>
      <w:r w:rsidR="004F5676">
        <w:rPr>
          <w:rFonts w:eastAsia="Times New Roman" w:cstheme="minorHAnsi"/>
          <w:b/>
          <w:bCs/>
          <w:color w:val="010000"/>
          <w:sz w:val="24"/>
          <w:szCs w:val="21"/>
          <w:lang w:val="en-GB"/>
        </w:rPr>
        <w:t xml:space="preserve">and </w:t>
      </w:r>
      <w:r w:rsidRPr="004F5676">
        <w:rPr>
          <w:rFonts w:eastAsia="Times New Roman" w:cstheme="minorHAnsi"/>
          <w:b/>
          <w:bCs/>
          <w:color w:val="010000"/>
          <w:sz w:val="24"/>
          <w:szCs w:val="21"/>
          <w:lang w:val="en-GB"/>
        </w:rPr>
        <w:t>+48 12 345 32 23</w:t>
      </w:r>
    </w:p>
    <w:p w14:paraId="2B8298C1" w14:textId="77777777" w:rsidR="00845A63" w:rsidRPr="00B47BF5" w:rsidRDefault="00845A63" w:rsidP="00B47BF5">
      <w:pPr>
        <w:pBdr>
          <w:bottom w:val="single" w:sz="6" w:space="1" w:color="auto"/>
        </w:pBdr>
        <w:jc w:val="both"/>
        <w:rPr>
          <w:rFonts w:cstheme="minorHAnsi"/>
          <w:lang w:val="en-GB"/>
        </w:rPr>
      </w:pPr>
    </w:p>
    <w:p w14:paraId="4C2AF03D" w14:textId="16585AC6" w:rsidR="00845A63" w:rsidRPr="00B47BF5" w:rsidRDefault="00382808" w:rsidP="00382808">
      <w:pPr>
        <w:jc w:val="both"/>
        <w:rPr>
          <w:rFonts w:cstheme="minorHAnsi"/>
          <w:lang w:val="en-GB"/>
        </w:rPr>
      </w:pPr>
      <w:r w:rsidRPr="00382808">
        <w:rPr>
          <w:rFonts w:cstheme="minorHAnsi"/>
          <w:lang w:val="en-GB"/>
        </w:rPr>
        <w:t xml:space="preserve">Direct link to additional information on the Polish Investment Zone: </w:t>
      </w:r>
      <w:hyperlink r:id="rId7" w:history="1">
        <w:r w:rsidR="00845A63" w:rsidRPr="00B47BF5">
          <w:rPr>
            <w:rStyle w:val="Hipercze"/>
            <w:rFonts w:cstheme="minorHAnsi"/>
            <w:lang w:val="en-GB"/>
          </w:rPr>
          <w:t>https://www.kpt.krakow.pl/polska-strefa-inwestycji/informacje-podstawowe/</w:t>
        </w:r>
      </w:hyperlink>
    </w:p>
    <w:p w14:paraId="513B18A7" w14:textId="77777777" w:rsidR="00845A63" w:rsidRPr="00B47BF5" w:rsidRDefault="00845A63" w:rsidP="00B47BF5">
      <w:pPr>
        <w:spacing w:after="0" w:line="240" w:lineRule="auto"/>
        <w:jc w:val="both"/>
        <w:rPr>
          <w:rFonts w:eastAsia="Times New Roman" w:cstheme="minorHAnsi"/>
          <w:color w:val="010000"/>
          <w:sz w:val="24"/>
          <w:szCs w:val="24"/>
          <w:lang w:val="en-GB"/>
        </w:rPr>
      </w:pPr>
    </w:p>
    <w:p w14:paraId="47D246CC" w14:textId="376CA8D9" w:rsidR="004F5676" w:rsidRDefault="004F5676" w:rsidP="00B47BF5">
      <w:pPr>
        <w:jc w:val="both"/>
        <w:rPr>
          <w:rFonts w:cstheme="minorHAnsi"/>
          <w:sz w:val="24"/>
          <w:szCs w:val="24"/>
          <w:lang w:val="en-GB"/>
        </w:rPr>
      </w:pPr>
      <w:r w:rsidRPr="004F5676">
        <w:rPr>
          <w:rFonts w:cstheme="minorHAnsi"/>
          <w:sz w:val="24"/>
          <w:szCs w:val="24"/>
          <w:lang w:val="en-GB"/>
        </w:rPr>
        <w:t xml:space="preserve">Invest in </w:t>
      </w:r>
      <w:proofErr w:type="spellStart"/>
      <w:r w:rsidRPr="004F5676">
        <w:rPr>
          <w:rFonts w:cstheme="minorHAnsi"/>
          <w:sz w:val="24"/>
          <w:szCs w:val="24"/>
          <w:lang w:val="en-GB"/>
        </w:rPr>
        <w:t>Małopolska</w:t>
      </w:r>
      <w:proofErr w:type="spellEnd"/>
      <w:r w:rsidRPr="004F5676">
        <w:rPr>
          <w:rFonts w:cstheme="minorHAnsi"/>
          <w:sz w:val="24"/>
          <w:szCs w:val="24"/>
          <w:lang w:val="en-GB"/>
        </w:rPr>
        <w:t>, exploit the breaks!</w:t>
      </w:r>
    </w:p>
    <w:p w14:paraId="09DB6E06" w14:textId="77777777" w:rsidR="00F970A3" w:rsidRPr="00B47BF5" w:rsidRDefault="00F970A3" w:rsidP="00B47BF5">
      <w:pPr>
        <w:jc w:val="both"/>
        <w:rPr>
          <w:lang w:val="en-GB"/>
        </w:rPr>
      </w:pPr>
    </w:p>
    <w:sectPr w:rsidR="00F970A3" w:rsidRPr="00B47BF5" w:rsidSect="00A0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EF7"/>
    <w:multiLevelType w:val="multilevel"/>
    <w:tmpl w:val="96B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760C"/>
    <w:multiLevelType w:val="hybridMultilevel"/>
    <w:tmpl w:val="D37AB0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C57501"/>
    <w:multiLevelType w:val="multilevel"/>
    <w:tmpl w:val="042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C"/>
    <w:rsid w:val="000A2050"/>
    <w:rsid w:val="000C321E"/>
    <w:rsid w:val="00151896"/>
    <w:rsid w:val="001E74F0"/>
    <w:rsid w:val="00382808"/>
    <w:rsid w:val="003A4FC1"/>
    <w:rsid w:val="004F5676"/>
    <w:rsid w:val="005D57A6"/>
    <w:rsid w:val="00845A63"/>
    <w:rsid w:val="00867366"/>
    <w:rsid w:val="008A593A"/>
    <w:rsid w:val="008F29F3"/>
    <w:rsid w:val="00A03730"/>
    <w:rsid w:val="00B47BF5"/>
    <w:rsid w:val="00C607D6"/>
    <w:rsid w:val="00CD586C"/>
    <w:rsid w:val="00D25AC4"/>
    <w:rsid w:val="00D87923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7FA0"/>
  <w15:chartTrackingRefBased/>
  <w15:docId w15:val="{DD512B6B-697F-4074-A268-1949C92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58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58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8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t.krakow.pl/polska-strefa-inwestycji/informacje-podstaw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fa@kpt.krakow.pl" TargetMode="External"/><Relationship Id="rId5" Type="http://schemas.openxmlformats.org/officeDocument/2006/relationships/hyperlink" Target="http://www.kpt.krakow.pl/polska-strefa-inwestycji/informacje-podstawow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Czyszek</dc:creator>
  <cp:keywords/>
  <dc:description/>
  <cp:lastModifiedBy>Barbara Wityńska-Słącz</cp:lastModifiedBy>
  <cp:revision>2</cp:revision>
  <dcterms:created xsi:type="dcterms:W3CDTF">2020-05-21T07:12:00Z</dcterms:created>
  <dcterms:modified xsi:type="dcterms:W3CDTF">2020-05-21T07:12:00Z</dcterms:modified>
</cp:coreProperties>
</file>